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9D" w:rsidRPr="00CA189D" w:rsidRDefault="00CA189D" w:rsidP="00CA189D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742950" cy="105727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800080"/>
          <w:sz w:val="32"/>
        </w:rPr>
        <w:t xml:space="preserve">    </w:t>
      </w:r>
      <w:r w:rsidRPr="00CA189D">
        <w:rPr>
          <w:rFonts w:ascii="Arial Narrow" w:hAnsi="Arial Narrow"/>
          <w:b/>
          <w:sz w:val="28"/>
          <w:szCs w:val="28"/>
        </w:rPr>
        <w:t>COLLEGE OF ENGINEERING &amp; TECHNOLOGY</w:t>
      </w:r>
    </w:p>
    <w:p w:rsidR="00CA189D" w:rsidRPr="009B7A38" w:rsidRDefault="00BE75F3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6"/>
          <w:szCs w:val="26"/>
        </w:rPr>
      </w:pPr>
      <w:r w:rsidRPr="009B7A38">
        <w:rPr>
          <w:rFonts w:ascii="Arial Narrow" w:hAnsi="Arial Narrow"/>
          <w:b/>
          <w:sz w:val="26"/>
          <w:szCs w:val="26"/>
        </w:rPr>
        <w:t>(A</w:t>
      </w:r>
      <w:r w:rsidR="009B7A38" w:rsidRPr="009B7A38">
        <w:rPr>
          <w:rFonts w:ascii="Arial Narrow" w:hAnsi="Arial Narrow"/>
          <w:b/>
          <w:sz w:val="26"/>
          <w:szCs w:val="26"/>
        </w:rPr>
        <w:t xml:space="preserve">n Autonomous </w:t>
      </w:r>
      <w:r w:rsidR="00C377CF" w:rsidRPr="009B7A38">
        <w:rPr>
          <w:rFonts w:ascii="Arial Narrow" w:hAnsi="Arial Narrow"/>
          <w:b/>
          <w:sz w:val="26"/>
          <w:szCs w:val="26"/>
        </w:rPr>
        <w:t>&amp; Constituent</w:t>
      </w:r>
      <w:r w:rsidRPr="009B7A38">
        <w:rPr>
          <w:rFonts w:ascii="Arial Narrow" w:hAnsi="Arial Narrow"/>
          <w:b/>
          <w:sz w:val="26"/>
          <w:szCs w:val="26"/>
        </w:rPr>
        <w:t xml:space="preserve"> C</w:t>
      </w:r>
      <w:r w:rsidR="00CA189D" w:rsidRPr="009B7A38">
        <w:rPr>
          <w:rFonts w:ascii="Arial Narrow" w:hAnsi="Arial Narrow"/>
          <w:b/>
          <w:sz w:val="26"/>
          <w:szCs w:val="26"/>
        </w:rPr>
        <w:t xml:space="preserve">ollege of Biju Patnaik University of </w:t>
      </w:r>
      <w:r w:rsidRPr="009B7A38">
        <w:rPr>
          <w:rFonts w:ascii="Arial Narrow" w:hAnsi="Arial Narrow"/>
          <w:b/>
          <w:sz w:val="26"/>
          <w:szCs w:val="26"/>
        </w:rPr>
        <w:t>Technology, O</w:t>
      </w:r>
      <w:r w:rsidR="009B7A38" w:rsidRPr="009B7A38">
        <w:rPr>
          <w:rFonts w:ascii="Arial Narrow" w:hAnsi="Arial Narrow"/>
          <w:b/>
          <w:sz w:val="26"/>
          <w:szCs w:val="26"/>
        </w:rPr>
        <w:t>disha</w:t>
      </w:r>
      <w:r w:rsidR="00CA189D" w:rsidRPr="009B7A38">
        <w:rPr>
          <w:rFonts w:ascii="Arial Narrow" w:hAnsi="Arial Narrow"/>
          <w:b/>
          <w:sz w:val="26"/>
          <w:szCs w:val="26"/>
        </w:rPr>
        <w:t>)</w:t>
      </w:r>
    </w:p>
    <w:p w:rsidR="00CA189D" w:rsidRPr="00CA189D" w:rsidRDefault="00CA189D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8"/>
          <w:szCs w:val="28"/>
        </w:rPr>
      </w:pPr>
      <w:r w:rsidRPr="00CA189D">
        <w:rPr>
          <w:rFonts w:ascii="Arial Narrow" w:hAnsi="Arial Narrow"/>
          <w:b/>
          <w:sz w:val="28"/>
          <w:szCs w:val="28"/>
        </w:rPr>
        <w:t>Techno Campus, P.O.-Ghatikia, BHUBANESWAR -7510</w:t>
      </w:r>
      <w:r w:rsidR="009B7A38">
        <w:rPr>
          <w:rFonts w:ascii="Arial Narrow" w:hAnsi="Arial Narrow"/>
          <w:b/>
          <w:sz w:val="28"/>
          <w:szCs w:val="28"/>
        </w:rPr>
        <w:t>29</w:t>
      </w:r>
    </w:p>
    <w:p w:rsidR="00AD4694" w:rsidRDefault="00AD4694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30B48" w:rsidRDefault="00630B4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30B48">
        <w:rPr>
          <w:rFonts w:ascii="Arial Narrow" w:hAnsi="Arial Narrow"/>
          <w:b/>
          <w:sz w:val="28"/>
          <w:szCs w:val="28"/>
        </w:rPr>
        <w:t xml:space="preserve">No. </w:t>
      </w:r>
      <w:r w:rsidR="00134E20">
        <w:rPr>
          <w:rFonts w:ascii="Arial Narrow" w:hAnsi="Arial Narrow"/>
          <w:b/>
          <w:sz w:val="28"/>
          <w:szCs w:val="28"/>
        </w:rPr>
        <w:t xml:space="preserve"> 4227</w:t>
      </w:r>
      <w:r w:rsidR="009B7A3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/CET </w:t>
      </w:r>
      <w:r w:rsidR="0079617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Dated </w:t>
      </w:r>
      <w:r w:rsidR="00134E20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="00134E20">
        <w:rPr>
          <w:rFonts w:ascii="Arial Narrow" w:hAnsi="Arial Narrow"/>
          <w:b/>
          <w:sz w:val="28"/>
          <w:szCs w:val="28"/>
        </w:rPr>
        <w:t>21/12/2017</w:t>
      </w:r>
    </w:p>
    <w:p w:rsidR="009B7A38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B7A38" w:rsidRPr="00630B48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22EDF" w:rsidRDefault="00FB5DC5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7A38">
        <w:rPr>
          <w:rFonts w:ascii="Arial Narrow" w:hAnsi="Arial Narrow"/>
          <w:b/>
          <w:sz w:val="28"/>
          <w:szCs w:val="28"/>
          <w:u w:val="single"/>
        </w:rPr>
        <w:t>ADVERTISEMENT FOR ADMISSION</w:t>
      </w:r>
      <w:r w:rsidR="00C377CF">
        <w:rPr>
          <w:rFonts w:ascii="Arial Narrow" w:hAnsi="Arial Narrow"/>
          <w:b/>
          <w:sz w:val="28"/>
          <w:szCs w:val="28"/>
          <w:u w:val="single"/>
        </w:rPr>
        <w:t xml:space="preserve"> TO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>FULL-</w:t>
      </w:r>
      <w:r w:rsidRPr="009B7A38">
        <w:rPr>
          <w:rFonts w:ascii="Arial Narrow" w:hAnsi="Arial Narrow"/>
          <w:b/>
          <w:sz w:val="28"/>
          <w:szCs w:val="28"/>
          <w:u w:val="single"/>
        </w:rPr>
        <w:t>TIME REGULAR Ph.D.</w:t>
      </w:r>
      <w:r w:rsidR="00DD2978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B7A38">
        <w:rPr>
          <w:rFonts w:ascii="Arial Narrow" w:hAnsi="Arial Narrow"/>
          <w:b/>
          <w:sz w:val="28"/>
          <w:szCs w:val="28"/>
          <w:u w:val="single"/>
        </w:rPr>
        <w:t xml:space="preserve">PROGRAMME </w:t>
      </w:r>
      <w:r>
        <w:rPr>
          <w:rFonts w:ascii="Arial Narrow" w:hAnsi="Arial Narrow"/>
          <w:b/>
          <w:sz w:val="28"/>
          <w:szCs w:val="28"/>
          <w:u w:val="single"/>
        </w:rPr>
        <w:t>UNDER</w:t>
      </w:r>
      <w:r w:rsidR="009B7A38">
        <w:rPr>
          <w:rFonts w:ascii="Arial Narrow" w:hAnsi="Arial Narrow"/>
          <w:b/>
          <w:sz w:val="28"/>
          <w:szCs w:val="28"/>
          <w:u w:val="single"/>
        </w:rPr>
        <w:t xml:space="preserve"> BPUT</w:t>
      </w:r>
      <w:r w:rsidR="00C377CF">
        <w:rPr>
          <w:rFonts w:ascii="Arial Narrow" w:hAnsi="Arial Narrow"/>
          <w:b/>
          <w:sz w:val="28"/>
          <w:szCs w:val="28"/>
          <w:u w:val="single"/>
        </w:rPr>
        <w:t xml:space="preserve">, ODISHA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AT CET, BHUBANESWAR </w:t>
      </w:r>
      <w:r w:rsidR="009B7A38">
        <w:rPr>
          <w:rFonts w:ascii="Arial Narrow" w:hAnsi="Arial Narrow"/>
          <w:b/>
          <w:sz w:val="28"/>
          <w:szCs w:val="28"/>
          <w:u w:val="single"/>
        </w:rPr>
        <w:t>THROUGH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 TEQIP-II</w:t>
      </w:r>
      <w:r w:rsidR="009B7A38">
        <w:rPr>
          <w:rFonts w:ascii="Arial Narrow" w:hAnsi="Arial Narrow"/>
          <w:b/>
          <w:sz w:val="28"/>
          <w:szCs w:val="28"/>
          <w:u w:val="single"/>
        </w:rPr>
        <w:t>I SCHEME</w:t>
      </w:r>
    </w:p>
    <w:p w:rsidR="009B7A38" w:rsidRPr="009B7A38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22EDF" w:rsidRDefault="00222EDF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are invited from eligible candidates for </w:t>
      </w:r>
      <w:r w:rsidR="00F67E58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 xml:space="preserve">ull-time </w:t>
      </w:r>
      <w:r w:rsidR="00F67E58">
        <w:rPr>
          <w:rFonts w:ascii="Arial Narrow" w:hAnsi="Arial Narrow"/>
          <w:sz w:val="24"/>
          <w:szCs w:val="24"/>
        </w:rPr>
        <w:t>r</w:t>
      </w:r>
      <w:r w:rsidR="0028153D">
        <w:rPr>
          <w:rFonts w:ascii="Arial Narrow" w:hAnsi="Arial Narrow"/>
          <w:sz w:val="24"/>
          <w:szCs w:val="24"/>
        </w:rPr>
        <w:t xml:space="preserve">egular </w:t>
      </w:r>
      <w:r>
        <w:rPr>
          <w:rFonts w:ascii="Arial Narrow" w:hAnsi="Arial Narrow"/>
          <w:sz w:val="24"/>
          <w:szCs w:val="24"/>
        </w:rPr>
        <w:t>Ph.D. programme</w:t>
      </w:r>
      <w:r w:rsidR="0028153D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at CET, Ghatikia, Bhubaneswar under TEQIP</w:t>
      </w:r>
      <w:r w:rsidR="00F67E58">
        <w:rPr>
          <w:rFonts w:ascii="Arial Narrow" w:hAnsi="Arial Narrow"/>
          <w:sz w:val="24"/>
          <w:szCs w:val="24"/>
        </w:rPr>
        <w:t>-</w:t>
      </w:r>
      <w:r w:rsidR="00F67E58" w:rsidRPr="00F67E58">
        <w:rPr>
          <w:rFonts w:ascii="Arial Narrow" w:hAnsi="Arial Narrow"/>
          <w:sz w:val="24"/>
          <w:szCs w:val="24"/>
        </w:rPr>
        <w:t xml:space="preserve"> II</w:t>
      </w:r>
      <w:r w:rsidR="009B7A38">
        <w:rPr>
          <w:rFonts w:ascii="Arial Narrow" w:hAnsi="Arial Narrow"/>
          <w:sz w:val="24"/>
          <w:szCs w:val="24"/>
        </w:rPr>
        <w:t>I</w:t>
      </w:r>
      <w:r w:rsidR="0028153D">
        <w:rPr>
          <w:rFonts w:ascii="Arial Narrow" w:hAnsi="Arial Narrow"/>
          <w:sz w:val="24"/>
          <w:szCs w:val="24"/>
        </w:rPr>
        <w:t xml:space="preserve"> Scheme in the following discipline</w:t>
      </w:r>
      <w:r w:rsidR="005C068E">
        <w:rPr>
          <w:rFonts w:ascii="Arial Narrow" w:hAnsi="Arial Narrow"/>
          <w:sz w:val="24"/>
          <w:szCs w:val="24"/>
        </w:rPr>
        <w:t>s</w:t>
      </w:r>
      <w:r w:rsidR="0028153D">
        <w:rPr>
          <w:rFonts w:ascii="Arial Narrow" w:hAnsi="Arial Narrow"/>
          <w:sz w:val="24"/>
          <w:szCs w:val="24"/>
        </w:rPr>
        <w:t>:</w:t>
      </w:r>
    </w:p>
    <w:p w:rsidR="005B68A4" w:rsidRDefault="005B68A4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3544"/>
        <w:gridCol w:w="4677"/>
      </w:tblGrid>
      <w:tr w:rsidR="00BA730C" w:rsidTr="00DD2978">
        <w:tc>
          <w:tcPr>
            <w:tcW w:w="959" w:type="dxa"/>
          </w:tcPr>
          <w:p w:rsidR="00222EDF" w:rsidRPr="00BA730C" w:rsidRDefault="00222EDF" w:rsidP="00DD2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3544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</w:p>
        </w:tc>
        <w:tc>
          <w:tcPr>
            <w:tcW w:w="4677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Area of Specialization</w:t>
            </w:r>
          </w:p>
        </w:tc>
      </w:tr>
      <w:tr w:rsidR="00BA730C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2EDF" w:rsidRDefault="005B68A4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Engineering</w:t>
            </w:r>
          </w:p>
        </w:tc>
        <w:tc>
          <w:tcPr>
            <w:tcW w:w="4677" w:type="dxa"/>
          </w:tcPr>
          <w:p w:rsidR="00222EDF" w:rsidRDefault="005B68A4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Chemical Processing / Technical Textiles</w:t>
            </w:r>
          </w:p>
        </w:tc>
      </w:tr>
      <w:tr w:rsidR="00BA730C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22EDF" w:rsidRDefault="00222EDF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Civil Engineering</w:t>
            </w:r>
          </w:p>
        </w:tc>
        <w:tc>
          <w:tcPr>
            <w:tcW w:w="4677" w:type="dxa"/>
          </w:tcPr>
          <w:p w:rsidR="00222EDF" w:rsidRDefault="0028153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Structural Engineering / Geo-Technical Engineering / Hydraulics &amp; Water Resources Engineering</w:t>
            </w:r>
          </w:p>
        </w:tc>
      </w:tr>
      <w:tr w:rsidR="00BA730C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2EDF" w:rsidRDefault="00222EDF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Computer Science &amp; Engineering</w:t>
            </w:r>
          </w:p>
        </w:tc>
        <w:tc>
          <w:tcPr>
            <w:tcW w:w="4677" w:type="dxa"/>
          </w:tcPr>
          <w:p w:rsidR="00222EDF" w:rsidRDefault="0028153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So</w:t>
            </w:r>
            <w:r w:rsidR="00F43160">
              <w:rPr>
                <w:rFonts w:ascii="Arial Narrow" w:hAnsi="Arial Narrow"/>
                <w:sz w:val="24"/>
                <w:szCs w:val="24"/>
              </w:rPr>
              <w:t xml:space="preserve">ft </w:t>
            </w:r>
            <w:r w:rsidRPr="0028153D">
              <w:rPr>
                <w:rFonts w:ascii="Arial Narrow" w:hAnsi="Arial Narrow"/>
                <w:sz w:val="24"/>
                <w:szCs w:val="24"/>
              </w:rPr>
              <w:t>Computing</w:t>
            </w:r>
            <w:r w:rsidR="00F4316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 w:rsidR="00F4316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Pattern Recognition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Image Processing</w:t>
            </w:r>
          </w:p>
        </w:tc>
      </w:tr>
      <w:tr w:rsidR="00BA730C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22EDF" w:rsidRDefault="000D7B66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Engineering</w:t>
            </w:r>
          </w:p>
        </w:tc>
        <w:tc>
          <w:tcPr>
            <w:tcW w:w="4677" w:type="dxa"/>
          </w:tcPr>
          <w:p w:rsidR="00222EDF" w:rsidRDefault="00CA189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Power System Engineering / Power Electronics &amp; Drives</w:t>
            </w:r>
          </w:p>
        </w:tc>
      </w:tr>
      <w:tr w:rsidR="00BA730C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22EDF" w:rsidRDefault="000D7B66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Instrumentation &amp; Electronics Engineering</w:t>
            </w:r>
          </w:p>
        </w:tc>
        <w:tc>
          <w:tcPr>
            <w:tcW w:w="4677" w:type="dxa"/>
          </w:tcPr>
          <w:p w:rsidR="00222EDF" w:rsidRDefault="00CA189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Process Control / Instrumentation</w:t>
            </w:r>
            <w:r w:rsidR="009B7A38">
              <w:rPr>
                <w:rFonts w:ascii="Arial Narrow" w:hAnsi="Arial Narrow"/>
                <w:sz w:val="24"/>
                <w:szCs w:val="24"/>
              </w:rPr>
              <w:t xml:space="preserve"> /Communication</w:t>
            </w:r>
          </w:p>
        </w:tc>
      </w:tr>
      <w:tr w:rsidR="00222EDF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22EDF" w:rsidRDefault="000D7B66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Technology</w:t>
            </w:r>
          </w:p>
        </w:tc>
        <w:tc>
          <w:tcPr>
            <w:tcW w:w="4677" w:type="dxa"/>
          </w:tcPr>
          <w:p w:rsidR="00222EDF" w:rsidRDefault="00CA189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Web Engineering / Fractals</w:t>
            </w:r>
          </w:p>
        </w:tc>
      </w:tr>
      <w:tr w:rsidR="00222EDF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22EDF" w:rsidRDefault="000D7B66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Mechanical Engineering</w:t>
            </w:r>
          </w:p>
        </w:tc>
        <w:tc>
          <w:tcPr>
            <w:tcW w:w="4677" w:type="dxa"/>
          </w:tcPr>
          <w:p w:rsidR="00222EDF" w:rsidRDefault="00CA189D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Thermal Engineering / Machine Design / Industrial Engineering &amp; Management</w:t>
            </w:r>
          </w:p>
        </w:tc>
      </w:tr>
      <w:tr w:rsidR="00222EDF" w:rsidTr="00DD2978">
        <w:tc>
          <w:tcPr>
            <w:tcW w:w="959" w:type="dxa"/>
          </w:tcPr>
          <w:p w:rsidR="00222EDF" w:rsidRDefault="00222EDF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22EDF" w:rsidRDefault="000D7B66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  <w:tc>
          <w:tcPr>
            <w:tcW w:w="4677" w:type="dxa"/>
          </w:tcPr>
          <w:p w:rsidR="00222EDF" w:rsidRDefault="0028153D" w:rsidP="009B7A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Inorganic</w:t>
            </w:r>
            <w:r w:rsidR="005C068E">
              <w:rPr>
                <w:rFonts w:ascii="Arial Narrow" w:hAnsi="Arial Narrow"/>
                <w:sz w:val="24"/>
                <w:szCs w:val="24"/>
              </w:rPr>
              <w:t xml:space="preserve"> Chemistry / Physical Chemistry </w:t>
            </w:r>
            <w:r w:rsidR="009B7A38">
              <w:rPr>
                <w:rFonts w:ascii="Arial Narrow" w:hAnsi="Arial Narrow"/>
                <w:sz w:val="24"/>
                <w:szCs w:val="24"/>
              </w:rPr>
              <w:t xml:space="preserve">Computational </w:t>
            </w:r>
            <w:r w:rsidRPr="0028153D"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</w:tr>
    </w:tbl>
    <w:p w:rsidR="009B7A38" w:rsidRDefault="009B7A38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30C" w:rsidRDefault="00BD09DA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selection criteria will be based on written test consisting of multiple choice type questions followed by Viva-Voce test, career marking and research publications</w:t>
      </w:r>
      <w:r w:rsidR="00F43160">
        <w:rPr>
          <w:rFonts w:ascii="Arial Narrow" w:hAnsi="Arial Narrow"/>
          <w:sz w:val="24"/>
          <w:szCs w:val="24"/>
        </w:rPr>
        <w:t xml:space="preserve"> in Journals having impact factors</w:t>
      </w:r>
      <w:r>
        <w:rPr>
          <w:rFonts w:ascii="Arial Narrow" w:hAnsi="Arial Narrow"/>
          <w:sz w:val="24"/>
          <w:szCs w:val="24"/>
        </w:rPr>
        <w:t>. The written test in thi</w:t>
      </w:r>
      <w:r w:rsidR="00986ECE">
        <w:rPr>
          <w:rFonts w:ascii="Arial Narrow" w:hAnsi="Arial Narrow"/>
          <w:sz w:val="24"/>
          <w:szCs w:val="24"/>
        </w:rPr>
        <w:t>s regard will be conducted on 10.01.201</w:t>
      </w:r>
      <w:r w:rsidR="009B7A3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at 11 AM and the V</w:t>
      </w:r>
      <w:r w:rsidR="00986ECE">
        <w:rPr>
          <w:rFonts w:ascii="Arial Narrow" w:hAnsi="Arial Narrow"/>
          <w:sz w:val="24"/>
          <w:szCs w:val="24"/>
        </w:rPr>
        <w:t>iva-Voce test will be held on 11</w:t>
      </w:r>
      <w:r>
        <w:rPr>
          <w:rFonts w:ascii="Arial Narrow" w:hAnsi="Arial Narrow"/>
          <w:sz w:val="24"/>
          <w:szCs w:val="24"/>
        </w:rPr>
        <w:t>.01.201</w:t>
      </w:r>
      <w:r w:rsidR="009B7A3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at 11 AM</w:t>
      </w:r>
      <w:r w:rsidR="00F43160">
        <w:rPr>
          <w:rFonts w:ascii="Arial Narrow" w:hAnsi="Arial Narrow"/>
          <w:sz w:val="24"/>
          <w:szCs w:val="24"/>
        </w:rPr>
        <w:t xml:space="preserve"> at</w:t>
      </w:r>
      <w:r>
        <w:rPr>
          <w:rFonts w:ascii="Arial Narrow" w:hAnsi="Arial Narrow"/>
          <w:sz w:val="24"/>
          <w:szCs w:val="24"/>
        </w:rPr>
        <w:t xml:space="preserve"> CET, Ghatikia, Bhubaneswar. The selected candidates will be registered </w:t>
      </w:r>
      <w:r w:rsidR="00F43160">
        <w:rPr>
          <w:rFonts w:ascii="Arial Narrow" w:hAnsi="Arial Narrow"/>
          <w:sz w:val="24"/>
          <w:szCs w:val="24"/>
        </w:rPr>
        <w:t>as full-</w:t>
      </w:r>
      <w:r>
        <w:rPr>
          <w:rFonts w:ascii="Arial Narrow" w:hAnsi="Arial Narrow"/>
          <w:sz w:val="24"/>
          <w:szCs w:val="24"/>
        </w:rPr>
        <w:t>time regular Ph.D. scholar</w:t>
      </w:r>
      <w:r w:rsidR="00F4316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F43160">
        <w:rPr>
          <w:rFonts w:ascii="Arial Narrow" w:hAnsi="Arial Narrow"/>
          <w:sz w:val="24"/>
          <w:szCs w:val="24"/>
        </w:rPr>
        <w:t xml:space="preserve">under BPUT, </w:t>
      </w:r>
      <w:r>
        <w:rPr>
          <w:rFonts w:ascii="Arial Narrow" w:hAnsi="Arial Narrow"/>
          <w:sz w:val="24"/>
          <w:szCs w:val="24"/>
        </w:rPr>
        <w:t xml:space="preserve">Odisha, Rourkela. The </w:t>
      </w:r>
      <w:r w:rsidR="006654C6">
        <w:rPr>
          <w:rFonts w:ascii="Arial Narrow" w:hAnsi="Arial Narrow"/>
          <w:sz w:val="24"/>
          <w:szCs w:val="24"/>
        </w:rPr>
        <w:t xml:space="preserve">details of </w:t>
      </w:r>
      <w:r>
        <w:rPr>
          <w:rFonts w:ascii="Arial Narrow" w:hAnsi="Arial Narrow"/>
          <w:sz w:val="24"/>
          <w:szCs w:val="24"/>
        </w:rPr>
        <w:t>eligibility criteria</w:t>
      </w:r>
      <w:r w:rsidR="006654C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academic qualifications, </w:t>
      </w:r>
      <w:r w:rsidR="009B7A38">
        <w:rPr>
          <w:rFonts w:ascii="Arial Narrow" w:hAnsi="Arial Narrow"/>
          <w:sz w:val="24"/>
          <w:szCs w:val="24"/>
        </w:rPr>
        <w:t>course work</w:t>
      </w:r>
      <w:r w:rsidR="00C377CF">
        <w:rPr>
          <w:rFonts w:ascii="Arial Narrow" w:hAnsi="Arial Narrow"/>
          <w:sz w:val="24"/>
          <w:szCs w:val="24"/>
        </w:rPr>
        <w:t>,</w:t>
      </w:r>
      <w:r w:rsidR="009B7A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fees to be paid towards Ph.D. programme</w:t>
      </w:r>
      <w:r w:rsidR="006654C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etc</w:t>
      </w:r>
      <w:r w:rsidR="00F4316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will be as pe</w:t>
      </w:r>
      <w:r w:rsidR="00F43160">
        <w:rPr>
          <w:rFonts w:ascii="Arial Narrow" w:hAnsi="Arial Narrow"/>
          <w:sz w:val="24"/>
          <w:szCs w:val="24"/>
        </w:rPr>
        <w:t>r BPUT norms available at BPUT w</w:t>
      </w:r>
      <w:r>
        <w:rPr>
          <w:rFonts w:ascii="Arial Narrow" w:hAnsi="Arial Narrow"/>
          <w:sz w:val="24"/>
          <w:szCs w:val="24"/>
        </w:rPr>
        <w:t xml:space="preserve">ebsite, </w:t>
      </w:r>
      <w:hyperlink r:id="rId8" w:history="1">
        <w:r w:rsidRPr="0061179D">
          <w:rPr>
            <w:rStyle w:val="Hyperlink"/>
            <w:rFonts w:ascii="Arial Narrow" w:hAnsi="Arial Narrow"/>
            <w:sz w:val="24"/>
            <w:szCs w:val="24"/>
          </w:rPr>
          <w:t>www.bput.ac.in</w:t>
        </w:r>
      </w:hyperlink>
      <w:r>
        <w:rPr>
          <w:rFonts w:ascii="Arial Narrow" w:hAnsi="Arial Narrow"/>
          <w:sz w:val="24"/>
          <w:szCs w:val="24"/>
        </w:rPr>
        <w:t>. The selected candidates will be awarded wit</w:t>
      </w:r>
      <w:r w:rsidR="009B7A38">
        <w:rPr>
          <w:rFonts w:ascii="Arial Narrow" w:hAnsi="Arial Narrow"/>
          <w:sz w:val="24"/>
          <w:szCs w:val="24"/>
        </w:rPr>
        <w:t>h financial assistance of Rs. 18</w:t>
      </w:r>
      <w:r>
        <w:rPr>
          <w:rFonts w:ascii="Arial Narrow" w:hAnsi="Arial Narrow"/>
          <w:sz w:val="24"/>
          <w:szCs w:val="24"/>
        </w:rPr>
        <w:t xml:space="preserve">,000/- per month from the </w:t>
      </w:r>
      <w:r w:rsidR="00F43160">
        <w:rPr>
          <w:rFonts w:ascii="Arial Narrow" w:hAnsi="Arial Narrow"/>
          <w:sz w:val="24"/>
          <w:szCs w:val="24"/>
        </w:rPr>
        <w:t xml:space="preserve">available </w:t>
      </w:r>
      <w:r>
        <w:rPr>
          <w:rFonts w:ascii="Arial Narrow" w:hAnsi="Arial Narrow"/>
          <w:sz w:val="24"/>
          <w:szCs w:val="24"/>
        </w:rPr>
        <w:t>TEQIP fund</w:t>
      </w:r>
      <w:r w:rsidR="00F43160">
        <w:rPr>
          <w:rFonts w:ascii="Arial Narrow" w:hAnsi="Arial Narrow"/>
          <w:sz w:val="24"/>
          <w:szCs w:val="24"/>
        </w:rPr>
        <w:t xml:space="preserve"> as per TEQIP norms</w:t>
      </w:r>
      <w:r w:rsidR="00986ECE">
        <w:rPr>
          <w:rFonts w:ascii="Arial Narrow" w:hAnsi="Arial Narrow"/>
          <w:sz w:val="24"/>
          <w:szCs w:val="24"/>
        </w:rPr>
        <w:t>.</w:t>
      </w:r>
      <w:r w:rsidR="009B7A38">
        <w:rPr>
          <w:rFonts w:ascii="Arial Narrow" w:hAnsi="Arial Narrow"/>
          <w:sz w:val="24"/>
          <w:szCs w:val="24"/>
        </w:rPr>
        <w:t xml:space="preserve"> </w:t>
      </w:r>
      <w:r w:rsidR="00C377CF">
        <w:rPr>
          <w:rFonts w:ascii="Arial Narrow" w:hAnsi="Arial Narrow"/>
          <w:sz w:val="24"/>
          <w:szCs w:val="24"/>
        </w:rPr>
        <w:t xml:space="preserve">No HRA and Hostel accommodation will be provided. </w:t>
      </w:r>
      <w:r w:rsidR="009B7A38">
        <w:rPr>
          <w:rFonts w:ascii="Arial Narrow" w:hAnsi="Arial Narrow"/>
          <w:sz w:val="24"/>
          <w:szCs w:val="24"/>
        </w:rPr>
        <w:t xml:space="preserve">The maximum duration is 36 months. In addition to research work, teaching assignment will be given as per TEQIP norms. </w:t>
      </w:r>
      <w:r w:rsidR="007C53C6">
        <w:rPr>
          <w:rFonts w:ascii="Arial Narrow" w:hAnsi="Arial Narrow"/>
          <w:sz w:val="24"/>
          <w:szCs w:val="24"/>
        </w:rPr>
        <w:t xml:space="preserve">The </w:t>
      </w:r>
      <w:r w:rsidR="00857CBE">
        <w:rPr>
          <w:rFonts w:ascii="Arial Narrow" w:hAnsi="Arial Narrow"/>
          <w:sz w:val="24"/>
          <w:szCs w:val="24"/>
        </w:rPr>
        <w:t>eligible</w:t>
      </w:r>
      <w:r w:rsidR="006654C6">
        <w:rPr>
          <w:rFonts w:ascii="Arial Narrow" w:hAnsi="Arial Narrow"/>
          <w:sz w:val="24"/>
          <w:szCs w:val="24"/>
        </w:rPr>
        <w:t xml:space="preserve"> candidates</w:t>
      </w:r>
      <w:r w:rsidR="00857CBE">
        <w:rPr>
          <w:rFonts w:ascii="Arial Narrow" w:hAnsi="Arial Narrow"/>
          <w:sz w:val="24"/>
          <w:szCs w:val="24"/>
        </w:rPr>
        <w:t xml:space="preserve"> may send their complete Biodata</w:t>
      </w:r>
      <w:r w:rsidR="006654C6">
        <w:rPr>
          <w:rFonts w:ascii="Arial Narrow" w:hAnsi="Arial Narrow"/>
          <w:sz w:val="24"/>
          <w:szCs w:val="24"/>
        </w:rPr>
        <w:t xml:space="preserve"> showing acad</w:t>
      </w:r>
      <w:r w:rsidR="007C53C6">
        <w:rPr>
          <w:rFonts w:ascii="Arial Narrow" w:hAnsi="Arial Narrow"/>
          <w:sz w:val="24"/>
          <w:szCs w:val="24"/>
        </w:rPr>
        <w:t>emic qualification</w:t>
      </w:r>
      <w:r w:rsidR="00C377CF">
        <w:rPr>
          <w:rFonts w:ascii="Arial Narrow" w:hAnsi="Arial Narrow"/>
          <w:sz w:val="24"/>
          <w:szCs w:val="24"/>
        </w:rPr>
        <w:t>s</w:t>
      </w:r>
      <w:r w:rsidR="007C53C6">
        <w:rPr>
          <w:rFonts w:ascii="Arial Narrow" w:hAnsi="Arial Narrow"/>
          <w:sz w:val="24"/>
          <w:szCs w:val="24"/>
        </w:rPr>
        <w:t>, experience</w:t>
      </w:r>
      <w:r w:rsidR="00C377CF">
        <w:rPr>
          <w:rFonts w:ascii="Arial Narrow" w:hAnsi="Arial Narrow"/>
          <w:sz w:val="24"/>
          <w:szCs w:val="24"/>
        </w:rPr>
        <w:t>s</w:t>
      </w:r>
      <w:r w:rsidR="007C53C6">
        <w:rPr>
          <w:rFonts w:ascii="Arial Narrow" w:hAnsi="Arial Narrow"/>
          <w:sz w:val="24"/>
          <w:szCs w:val="24"/>
        </w:rPr>
        <w:t>,</w:t>
      </w:r>
      <w:r w:rsidR="006654C6">
        <w:rPr>
          <w:rFonts w:ascii="Arial Narrow" w:hAnsi="Arial Narrow"/>
          <w:sz w:val="24"/>
          <w:szCs w:val="24"/>
        </w:rPr>
        <w:t xml:space="preserve"> publications</w:t>
      </w:r>
      <w:r w:rsidR="007C53C6">
        <w:rPr>
          <w:rFonts w:ascii="Arial Narrow" w:hAnsi="Arial Narrow"/>
          <w:sz w:val="24"/>
          <w:szCs w:val="24"/>
        </w:rPr>
        <w:t>,</w:t>
      </w:r>
      <w:r w:rsidR="006654C6">
        <w:rPr>
          <w:rFonts w:ascii="Arial Narrow" w:hAnsi="Arial Narrow"/>
          <w:sz w:val="24"/>
          <w:szCs w:val="24"/>
        </w:rPr>
        <w:t xml:space="preserve"> etc</w:t>
      </w:r>
      <w:r w:rsidR="007C53C6">
        <w:rPr>
          <w:rFonts w:ascii="Arial Narrow" w:hAnsi="Arial Narrow"/>
          <w:sz w:val="24"/>
          <w:szCs w:val="24"/>
        </w:rPr>
        <w:t>.</w:t>
      </w:r>
      <w:r w:rsidR="006654C6">
        <w:rPr>
          <w:rFonts w:ascii="Arial Narrow" w:hAnsi="Arial Narrow"/>
          <w:sz w:val="24"/>
          <w:szCs w:val="24"/>
        </w:rPr>
        <w:t xml:space="preserve"> to the </w:t>
      </w:r>
      <w:r w:rsidR="00857CBE">
        <w:rPr>
          <w:rFonts w:ascii="Arial Narrow" w:hAnsi="Arial Narrow"/>
          <w:sz w:val="24"/>
          <w:szCs w:val="24"/>
        </w:rPr>
        <w:t xml:space="preserve">TEQIP Coordinator, </w:t>
      </w:r>
      <w:r w:rsidR="006654C6">
        <w:rPr>
          <w:rFonts w:ascii="Arial Narrow" w:hAnsi="Arial Narrow"/>
          <w:sz w:val="24"/>
          <w:szCs w:val="24"/>
        </w:rPr>
        <w:t>CET, Ghatikia, Bhubaneswar-751</w:t>
      </w:r>
      <w:r w:rsidR="009B7A38">
        <w:rPr>
          <w:rFonts w:ascii="Arial Narrow" w:hAnsi="Arial Narrow"/>
          <w:sz w:val="24"/>
          <w:szCs w:val="24"/>
        </w:rPr>
        <w:t>029</w:t>
      </w:r>
      <w:r w:rsidR="007C53C6">
        <w:rPr>
          <w:rFonts w:ascii="Arial Narrow" w:hAnsi="Arial Narrow"/>
          <w:sz w:val="24"/>
          <w:szCs w:val="24"/>
        </w:rPr>
        <w:t xml:space="preserve"> </w:t>
      </w:r>
      <w:r w:rsidR="006654C6">
        <w:rPr>
          <w:rFonts w:ascii="Arial Narrow" w:hAnsi="Arial Narrow"/>
          <w:sz w:val="24"/>
          <w:szCs w:val="24"/>
        </w:rPr>
        <w:t xml:space="preserve">or they may send the same through e-mail to </w:t>
      </w:r>
      <w:hyperlink r:id="rId9" w:history="1">
        <w:r w:rsidR="00857CBE" w:rsidRPr="007A0525">
          <w:rPr>
            <w:rStyle w:val="Hyperlink"/>
            <w:rFonts w:ascii="Arial Narrow" w:hAnsi="Arial Narrow"/>
            <w:sz w:val="24"/>
            <w:szCs w:val="24"/>
          </w:rPr>
          <w:t>teqipcoordinator@cet.edu.in</w:t>
        </w:r>
      </w:hyperlink>
      <w:r w:rsidR="00986ECE">
        <w:rPr>
          <w:rFonts w:ascii="Arial Narrow" w:hAnsi="Arial Narrow"/>
          <w:sz w:val="24"/>
          <w:szCs w:val="24"/>
        </w:rPr>
        <w:t xml:space="preserve"> on or before </w:t>
      </w:r>
      <w:r w:rsidR="009B7A38">
        <w:rPr>
          <w:rFonts w:ascii="Arial Narrow" w:hAnsi="Arial Narrow"/>
          <w:sz w:val="24"/>
          <w:szCs w:val="24"/>
        </w:rPr>
        <w:t xml:space="preserve">07.01.2018. </w:t>
      </w:r>
      <w:r w:rsidR="006654C6">
        <w:rPr>
          <w:rFonts w:ascii="Arial Narrow" w:hAnsi="Arial Narrow"/>
          <w:sz w:val="24"/>
          <w:szCs w:val="24"/>
        </w:rPr>
        <w:t xml:space="preserve">The applications will be scrutinized and the list of the eligible candidates </w:t>
      </w:r>
      <w:r w:rsidR="007C53C6">
        <w:rPr>
          <w:rFonts w:ascii="Arial Narrow" w:hAnsi="Arial Narrow"/>
          <w:sz w:val="24"/>
          <w:szCs w:val="24"/>
        </w:rPr>
        <w:t xml:space="preserve">will </w:t>
      </w:r>
      <w:r w:rsidR="006654C6">
        <w:rPr>
          <w:rFonts w:ascii="Arial Narrow" w:hAnsi="Arial Narrow"/>
          <w:sz w:val="24"/>
          <w:szCs w:val="24"/>
        </w:rPr>
        <w:t xml:space="preserve">be available in our College website, </w:t>
      </w:r>
      <w:hyperlink r:id="rId10" w:history="1">
        <w:r w:rsidR="006654C6" w:rsidRPr="0061179D">
          <w:rPr>
            <w:rStyle w:val="Hyperlink"/>
            <w:rFonts w:ascii="Arial Narrow" w:hAnsi="Arial Narrow"/>
            <w:sz w:val="24"/>
            <w:szCs w:val="24"/>
          </w:rPr>
          <w:t>www.cet.edu.in</w:t>
        </w:r>
      </w:hyperlink>
      <w:r w:rsidR="006654C6">
        <w:rPr>
          <w:rFonts w:ascii="Arial Narrow" w:hAnsi="Arial Narrow"/>
          <w:sz w:val="24"/>
          <w:szCs w:val="24"/>
        </w:rPr>
        <w:t xml:space="preserve"> </w:t>
      </w:r>
      <w:r w:rsidR="00986ECE">
        <w:rPr>
          <w:rFonts w:ascii="Arial Narrow" w:hAnsi="Arial Narrow"/>
          <w:sz w:val="24"/>
          <w:szCs w:val="24"/>
        </w:rPr>
        <w:t xml:space="preserve">on </w:t>
      </w:r>
      <w:r w:rsidR="009B7A38">
        <w:rPr>
          <w:rFonts w:ascii="Arial Narrow" w:hAnsi="Arial Narrow"/>
          <w:sz w:val="24"/>
          <w:szCs w:val="24"/>
        </w:rPr>
        <w:t>08.01.2018</w:t>
      </w:r>
      <w:r w:rsidR="00AD4694">
        <w:rPr>
          <w:rFonts w:ascii="Arial Narrow" w:hAnsi="Arial Narrow"/>
          <w:sz w:val="24"/>
          <w:szCs w:val="24"/>
        </w:rPr>
        <w:t>.</w:t>
      </w:r>
    </w:p>
    <w:p w:rsidR="00AD4694" w:rsidRDefault="00AD4694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D4694" w:rsidRDefault="00AD4694" w:rsidP="00AD469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B5DC5" w:rsidRDefault="00FB5DC5" w:rsidP="00C377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B5DC5" w:rsidRPr="00FB5DC5" w:rsidRDefault="00FB5DC5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B5DC5">
        <w:rPr>
          <w:rFonts w:ascii="Arial Narrow" w:hAnsi="Arial Narrow"/>
          <w:sz w:val="24"/>
          <w:szCs w:val="24"/>
        </w:rPr>
        <w:t>Sd/-</w:t>
      </w:r>
    </w:p>
    <w:p w:rsidR="00222EDF" w:rsidRDefault="00AD4694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4694">
        <w:rPr>
          <w:rFonts w:ascii="Arial Narrow" w:hAnsi="Arial Narrow"/>
          <w:b/>
          <w:sz w:val="24"/>
          <w:szCs w:val="24"/>
          <w:u w:val="single"/>
        </w:rPr>
        <w:t>PRINCIPAL</w:t>
      </w:r>
    </w:p>
    <w:sectPr w:rsidR="00222EDF" w:rsidSect="00CE5A35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62" w:rsidRDefault="00867562" w:rsidP="00AD4694">
      <w:pPr>
        <w:spacing w:after="0" w:line="240" w:lineRule="auto"/>
      </w:pPr>
      <w:r>
        <w:separator/>
      </w:r>
    </w:p>
  </w:endnote>
  <w:endnote w:type="continuationSeparator" w:id="0">
    <w:p w:rsidR="00867562" w:rsidRDefault="00867562" w:rsidP="00A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62" w:rsidRDefault="00867562" w:rsidP="00AD4694">
      <w:pPr>
        <w:spacing w:after="0" w:line="240" w:lineRule="auto"/>
      </w:pPr>
      <w:r>
        <w:separator/>
      </w:r>
    </w:p>
  </w:footnote>
  <w:footnote w:type="continuationSeparator" w:id="0">
    <w:p w:rsidR="00867562" w:rsidRDefault="00867562" w:rsidP="00AD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3095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242"/>
    <w:multiLevelType w:val="hybridMultilevel"/>
    <w:tmpl w:val="42763620"/>
    <w:lvl w:ilvl="0" w:tplc="F89E72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9753D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1"/>
    <w:rsid w:val="00001F95"/>
    <w:rsid w:val="000234A5"/>
    <w:rsid w:val="0004598C"/>
    <w:rsid w:val="00052828"/>
    <w:rsid w:val="0008673E"/>
    <w:rsid w:val="000979BA"/>
    <w:rsid w:val="000D7B66"/>
    <w:rsid w:val="00132EF2"/>
    <w:rsid w:val="00134E20"/>
    <w:rsid w:val="00160994"/>
    <w:rsid w:val="00167C87"/>
    <w:rsid w:val="00185BA6"/>
    <w:rsid w:val="00222EDF"/>
    <w:rsid w:val="0028153D"/>
    <w:rsid w:val="00337C29"/>
    <w:rsid w:val="00405D4D"/>
    <w:rsid w:val="00496142"/>
    <w:rsid w:val="00496D3C"/>
    <w:rsid w:val="005924A2"/>
    <w:rsid w:val="005B68A4"/>
    <w:rsid w:val="005C068E"/>
    <w:rsid w:val="0060419F"/>
    <w:rsid w:val="00630B48"/>
    <w:rsid w:val="006654C6"/>
    <w:rsid w:val="006B0DB8"/>
    <w:rsid w:val="007272A8"/>
    <w:rsid w:val="00791FA6"/>
    <w:rsid w:val="00796172"/>
    <w:rsid w:val="007C53C6"/>
    <w:rsid w:val="007C5907"/>
    <w:rsid w:val="008229F7"/>
    <w:rsid w:val="00857CBE"/>
    <w:rsid w:val="00867562"/>
    <w:rsid w:val="008C432C"/>
    <w:rsid w:val="009367E4"/>
    <w:rsid w:val="00986ECE"/>
    <w:rsid w:val="009B7A38"/>
    <w:rsid w:val="00A711A5"/>
    <w:rsid w:val="00AA54EA"/>
    <w:rsid w:val="00AD36E9"/>
    <w:rsid w:val="00AD4694"/>
    <w:rsid w:val="00B7776B"/>
    <w:rsid w:val="00B80101"/>
    <w:rsid w:val="00BA2145"/>
    <w:rsid w:val="00BA730C"/>
    <w:rsid w:val="00BD09DA"/>
    <w:rsid w:val="00BE75F3"/>
    <w:rsid w:val="00C377CF"/>
    <w:rsid w:val="00C50B96"/>
    <w:rsid w:val="00C9793C"/>
    <w:rsid w:val="00CA189D"/>
    <w:rsid w:val="00CB37FF"/>
    <w:rsid w:val="00CE5A35"/>
    <w:rsid w:val="00D37DD5"/>
    <w:rsid w:val="00DA2948"/>
    <w:rsid w:val="00DD2978"/>
    <w:rsid w:val="00EB03F6"/>
    <w:rsid w:val="00EB4BC6"/>
    <w:rsid w:val="00F43160"/>
    <w:rsid w:val="00F67E58"/>
    <w:rsid w:val="00FB5DC5"/>
    <w:rsid w:val="00FF0B37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5A91"/>
  <w15:docId w15:val="{C2654A5B-31A0-4794-8FBF-E613E4A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4D"/>
    <w:pPr>
      <w:ind w:left="720"/>
      <w:contextualSpacing/>
    </w:pPr>
  </w:style>
  <w:style w:type="table" w:styleId="TableGrid">
    <w:name w:val="Table Grid"/>
    <w:basedOn w:val="TableNormal"/>
    <w:uiPriority w:val="59"/>
    <w:rsid w:val="0049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94"/>
  </w:style>
  <w:style w:type="paragraph" w:styleId="Footer">
    <w:name w:val="footer"/>
    <w:basedOn w:val="Normal"/>
    <w:link w:val="Foot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694"/>
  </w:style>
  <w:style w:type="paragraph" w:styleId="BalloonText">
    <w:name w:val="Balloon Text"/>
    <w:basedOn w:val="Normal"/>
    <w:link w:val="BalloonTextChar"/>
    <w:uiPriority w:val="99"/>
    <w:semiHidden/>
    <w:unhideWhenUsed/>
    <w:rsid w:val="00C3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u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t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qipcoordinator@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Dell14</cp:lastModifiedBy>
  <cp:revision>6</cp:revision>
  <cp:lastPrinted>2017-12-21T12:36:00Z</cp:lastPrinted>
  <dcterms:created xsi:type="dcterms:W3CDTF">2017-12-21T12:29:00Z</dcterms:created>
  <dcterms:modified xsi:type="dcterms:W3CDTF">2017-12-21T12:55:00Z</dcterms:modified>
</cp:coreProperties>
</file>